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0152A" w14:textId="77777777" w:rsidR="004B0DDE" w:rsidRPr="004B0DDE" w:rsidRDefault="004B0DDE" w:rsidP="004B0DDE">
      <w:pPr>
        <w:pBdr>
          <w:bottom w:val="single" w:sz="36" w:space="4" w:color="333333"/>
        </w:pBdr>
        <w:spacing w:line="336" w:lineRule="atLeast"/>
        <w:textAlignment w:val="baseline"/>
        <w:outlineLvl w:val="0"/>
        <w:rPr>
          <w:rFonts w:ascii="Tahoma" w:eastAsia="Times New Roman" w:hAnsi="Tahoma" w:cs="Tahoma"/>
          <w:b/>
          <w:bCs/>
          <w:caps/>
          <w:color w:val="333333"/>
          <w:kern w:val="36"/>
          <w:sz w:val="48"/>
          <w:szCs w:val="48"/>
          <w:lang w:eastAsia="en-GB"/>
        </w:rPr>
      </w:pPr>
      <w:r w:rsidRPr="004B0DDE">
        <w:rPr>
          <w:rFonts w:ascii="Tahoma" w:eastAsia="Times New Roman" w:hAnsi="Tahoma" w:cs="Tahoma"/>
          <w:b/>
          <w:bCs/>
          <w:caps/>
          <w:color w:val="333333"/>
          <w:kern w:val="36"/>
          <w:sz w:val="48"/>
          <w:szCs w:val="48"/>
          <w:lang w:eastAsia="en-GB"/>
        </w:rPr>
        <w:t>ABOUT</w:t>
      </w:r>
    </w:p>
    <w:p w14:paraId="2488AF52" w14:textId="77777777" w:rsidR="00D9300E" w:rsidRPr="004B0DDE" w:rsidRDefault="00D9300E" w:rsidP="00D9300E">
      <w:pPr>
        <w:spacing w:before="288" w:after="72" w:line="240" w:lineRule="atLeast"/>
        <w:textAlignment w:val="baseline"/>
        <w:outlineLvl w:val="2"/>
        <w:rPr>
          <w:rFonts w:ascii="inherit" w:eastAsia="Times New Roman" w:hAnsi="inherit" w:cs="Arial"/>
          <w:b/>
          <w:bCs/>
          <w:color w:val="222222"/>
          <w:sz w:val="36"/>
          <w:szCs w:val="36"/>
          <w:lang w:eastAsia="en-GB"/>
        </w:rPr>
      </w:pPr>
      <w:r w:rsidRPr="004B0DDE">
        <w:rPr>
          <w:rFonts w:ascii="inherit" w:eastAsia="Times New Roman" w:hAnsi="inherit" w:cs="Arial"/>
          <w:b/>
          <w:bCs/>
          <w:color w:val="222222"/>
          <w:sz w:val="36"/>
          <w:szCs w:val="36"/>
          <w:lang w:eastAsia="en-GB"/>
        </w:rPr>
        <w:t>Neighbourhood Plan</w:t>
      </w:r>
    </w:p>
    <w:p w14:paraId="507E1792" w14:textId="77777777" w:rsidR="007B3B4D" w:rsidRDefault="00D9300E" w:rsidP="00D9300E">
      <w:pPr>
        <w:spacing w:line="384" w:lineRule="atLeast"/>
        <w:textAlignment w:val="baseline"/>
        <w:rPr>
          <w:rFonts w:ascii="Arial" w:eastAsia="Times New Roman" w:hAnsi="Arial" w:cs="Arial"/>
          <w:color w:val="111111"/>
          <w:lang w:eastAsia="en-GB"/>
        </w:rPr>
      </w:pPr>
      <w:r w:rsidRPr="004B0DDE">
        <w:rPr>
          <w:rFonts w:ascii="Arial" w:eastAsia="Times New Roman" w:hAnsi="Arial" w:cs="Arial"/>
          <w:color w:val="111111"/>
          <w:lang w:eastAsia="en-GB"/>
        </w:rPr>
        <w:t>Neighbourhood Plans were introduced by the </w:t>
      </w:r>
      <w:hyperlink r:id="rId5" w:history="1">
        <w:r w:rsidRPr="004B0DDE">
          <w:rPr>
            <w:rFonts w:ascii="Arial" w:eastAsia="Times New Roman" w:hAnsi="Arial" w:cs="Arial"/>
            <w:color w:val="E84747"/>
            <w:bdr w:val="none" w:sz="0" w:space="0" w:color="auto" w:frame="1"/>
            <w:lang w:eastAsia="en-GB"/>
          </w:rPr>
          <w:t>Localism Act 2011</w:t>
        </w:r>
      </w:hyperlink>
      <w:r w:rsidRPr="004B0DDE">
        <w:rPr>
          <w:rFonts w:ascii="Arial" w:eastAsia="Times New Roman" w:hAnsi="Arial" w:cs="Arial"/>
          <w:color w:val="111111"/>
          <w:lang w:eastAsia="en-GB"/>
        </w:rPr>
        <w:t>. They empower communities to shape the development and growth of a local area. Once adopted, they become part of the Development Plan, and contribute to planning application decisions in that area as well as protecting green spaces. A Neighbourhood Plan cannot block development that is already part of the Local Plan, but it can shape where that development will go and what it will look like.</w:t>
      </w:r>
      <w:r w:rsidR="007B3B4D">
        <w:rPr>
          <w:rFonts w:ascii="Arial" w:eastAsia="Times New Roman" w:hAnsi="Arial" w:cs="Arial"/>
          <w:color w:val="111111"/>
          <w:lang w:eastAsia="en-GB"/>
        </w:rPr>
        <w:t xml:space="preserve"> </w:t>
      </w:r>
    </w:p>
    <w:p w14:paraId="1054F692" w14:textId="77777777" w:rsidR="007B3B4D" w:rsidRDefault="007B3B4D" w:rsidP="00D9300E">
      <w:pPr>
        <w:spacing w:line="384" w:lineRule="atLeast"/>
        <w:textAlignment w:val="baseline"/>
        <w:rPr>
          <w:rFonts w:ascii="Arial" w:eastAsia="Times New Roman" w:hAnsi="Arial" w:cs="Arial"/>
          <w:color w:val="111111"/>
          <w:lang w:eastAsia="en-GB"/>
        </w:rPr>
      </w:pPr>
    </w:p>
    <w:p w14:paraId="2ABAA612" w14:textId="4E793582" w:rsidR="00D9300E" w:rsidRPr="004B0DDE" w:rsidRDefault="007B3B4D" w:rsidP="00D9300E">
      <w:pPr>
        <w:spacing w:line="384" w:lineRule="atLeast"/>
        <w:textAlignment w:val="baseline"/>
        <w:rPr>
          <w:rFonts w:ascii="Arial" w:eastAsia="Times New Roman" w:hAnsi="Arial" w:cs="Arial"/>
          <w:color w:val="111111"/>
          <w:lang w:eastAsia="en-GB"/>
        </w:rPr>
      </w:pPr>
      <w:r>
        <w:rPr>
          <w:rFonts w:ascii="Arial" w:eastAsia="Times New Roman" w:hAnsi="Arial" w:cs="Arial"/>
          <w:color w:val="111111"/>
          <w:lang w:eastAsia="en-GB"/>
        </w:rPr>
        <w:t>Community Infrastructure Levy (CIL) is a charge that local authorities in England</w:t>
      </w:r>
      <w:r w:rsidR="00BC5FDE">
        <w:rPr>
          <w:rFonts w:ascii="Arial" w:eastAsia="Times New Roman" w:hAnsi="Arial" w:cs="Arial"/>
          <w:color w:val="111111"/>
          <w:lang w:eastAsia="en-GB"/>
        </w:rPr>
        <w:t xml:space="preserve"> can place on new development in their area</w:t>
      </w:r>
      <w:r w:rsidR="00845400">
        <w:rPr>
          <w:rFonts w:ascii="Arial" w:eastAsia="Times New Roman" w:hAnsi="Arial" w:cs="Arial"/>
          <w:color w:val="111111"/>
          <w:lang w:eastAsia="en-GB"/>
        </w:rPr>
        <w:t>.</w:t>
      </w:r>
      <w:r w:rsidR="00BC5FDE">
        <w:rPr>
          <w:rFonts w:ascii="Arial" w:eastAsia="Times New Roman" w:hAnsi="Arial" w:cs="Arial"/>
          <w:color w:val="111111"/>
          <w:lang w:eastAsia="en-GB"/>
        </w:rPr>
        <w:t xml:space="preserve"> The money generated through the levy will contribute to the funding of infrastructure to support growth. </w:t>
      </w:r>
      <w:r w:rsidR="00845400">
        <w:rPr>
          <w:rFonts w:ascii="Arial" w:eastAsia="Times New Roman" w:hAnsi="Arial" w:cs="Arial"/>
          <w:color w:val="111111"/>
          <w:lang w:eastAsia="en-GB"/>
        </w:rPr>
        <w:t>Where development takes place in an a</w:t>
      </w:r>
      <w:r>
        <w:rPr>
          <w:rFonts w:ascii="Arial" w:eastAsia="Times New Roman" w:hAnsi="Arial" w:cs="Arial"/>
          <w:color w:val="111111"/>
          <w:lang w:eastAsia="en-GB"/>
        </w:rPr>
        <w:t>rea</w:t>
      </w:r>
      <w:r w:rsidR="00845400">
        <w:rPr>
          <w:rFonts w:ascii="Arial" w:eastAsia="Times New Roman" w:hAnsi="Arial" w:cs="Arial"/>
          <w:color w:val="111111"/>
          <w:lang w:eastAsia="en-GB"/>
        </w:rPr>
        <w:t xml:space="preserve"> </w:t>
      </w:r>
      <w:r>
        <w:rPr>
          <w:rFonts w:ascii="Arial" w:eastAsia="Times New Roman" w:hAnsi="Arial" w:cs="Arial"/>
          <w:color w:val="111111"/>
          <w:lang w:eastAsia="en-GB"/>
        </w:rPr>
        <w:t xml:space="preserve">with a ‘made’ Neighbourhood Plan </w:t>
      </w:r>
      <w:r w:rsidR="005D6935">
        <w:rPr>
          <w:rFonts w:ascii="Arial" w:eastAsia="Times New Roman" w:hAnsi="Arial" w:cs="Arial"/>
          <w:color w:val="111111"/>
          <w:lang w:eastAsia="en-GB"/>
        </w:rPr>
        <w:t>Wiltshire</w:t>
      </w:r>
      <w:r w:rsidR="00845400">
        <w:rPr>
          <w:rFonts w:ascii="Arial" w:eastAsia="Times New Roman" w:hAnsi="Arial" w:cs="Arial"/>
          <w:color w:val="111111"/>
          <w:lang w:eastAsia="en-GB"/>
        </w:rPr>
        <w:t xml:space="preserve"> Council must pass on </w:t>
      </w:r>
      <w:r>
        <w:rPr>
          <w:rFonts w:ascii="Arial" w:eastAsia="Times New Roman" w:hAnsi="Arial" w:cs="Arial"/>
          <w:color w:val="111111"/>
          <w:lang w:eastAsia="en-GB"/>
        </w:rPr>
        <w:t xml:space="preserve">25% </w:t>
      </w:r>
      <w:r w:rsidR="00BC5FDE">
        <w:rPr>
          <w:rFonts w:ascii="Arial" w:eastAsia="Times New Roman" w:hAnsi="Arial" w:cs="Arial"/>
          <w:color w:val="111111"/>
          <w:lang w:eastAsia="en-GB"/>
        </w:rPr>
        <w:t>CIL receipts to town/parish councils for that area</w:t>
      </w:r>
      <w:r w:rsidR="00845400">
        <w:rPr>
          <w:rFonts w:ascii="Arial" w:eastAsia="Times New Roman" w:hAnsi="Arial" w:cs="Arial"/>
          <w:color w:val="111111"/>
          <w:lang w:eastAsia="en-GB"/>
        </w:rPr>
        <w:t xml:space="preserve">, </w:t>
      </w:r>
      <w:r w:rsidR="00BC5FDE">
        <w:rPr>
          <w:rFonts w:ascii="Arial" w:eastAsia="Times New Roman" w:hAnsi="Arial" w:cs="Arial"/>
          <w:color w:val="111111"/>
          <w:lang w:eastAsia="en-GB"/>
        </w:rPr>
        <w:t xml:space="preserve">compared to areas without </w:t>
      </w:r>
      <w:r w:rsidR="00845400">
        <w:rPr>
          <w:rFonts w:ascii="Arial" w:eastAsia="Times New Roman" w:hAnsi="Arial" w:cs="Arial"/>
          <w:color w:val="111111"/>
          <w:lang w:eastAsia="en-GB"/>
        </w:rPr>
        <w:t xml:space="preserve">neighbourhood plans </w:t>
      </w:r>
      <w:r w:rsidR="00AF5866">
        <w:rPr>
          <w:rFonts w:ascii="Arial" w:eastAsia="Times New Roman" w:hAnsi="Arial" w:cs="Arial"/>
          <w:color w:val="111111"/>
          <w:lang w:eastAsia="en-GB"/>
        </w:rPr>
        <w:t xml:space="preserve">who </w:t>
      </w:r>
      <w:r w:rsidR="00BC5FDE">
        <w:rPr>
          <w:rFonts w:ascii="Arial" w:eastAsia="Times New Roman" w:hAnsi="Arial" w:cs="Arial"/>
          <w:color w:val="111111"/>
          <w:lang w:eastAsia="en-GB"/>
        </w:rPr>
        <w:t>will receive 15% (capped at £100 per council tax dwelling) of the relevant CIL receipts.</w:t>
      </w:r>
    </w:p>
    <w:p w14:paraId="5581CCBD" w14:textId="77777777" w:rsidR="00D9300E" w:rsidRDefault="00D9300E" w:rsidP="004B0DDE">
      <w:pPr>
        <w:spacing w:line="384" w:lineRule="atLeast"/>
        <w:textAlignment w:val="baseline"/>
        <w:rPr>
          <w:rFonts w:ascii="Arial" w:eastAsia="Times New Roman" w:hAnsi="Arial" w:cs="Arial"/>
          <w:color w:val="111111"/>
          <w:lang w:eastAsia="en-GB"/>
        </w:rPr>
      </w:pPr>
    </w:p>
    <w:p w14:paraId="6F986472" w14:textId="75D23B3E" w:rsidR="005F38F7" w:rsidRDefault="004B0DDE" w:rsidP="004B0DDE">
      <w:pPr>
        <w:spacing w:line="384" w:lineRule="atLeast"/>
        <w:textAlignment w:val="baseline"/>
        <w:rPr>
          <w:rFonts w:ascii="Arial" w:eastAsia="Times New Roman" w:hAnsi="Arial" w:cs="Arial"/>
          <w:color w:val="111111"/>
          <w:lang w:eastAsia="en-GB"/>
        </w:rPr>
      </w:pPr>
      <w:r w:rsidRPr="004B0DDE">
        <w:rPr>
          <w:rFonts w:ascii="Arial" w:eastAsia="Times New Roman" w:hAnsi="Arial" w:cs="Arial"/>
          <w:color w:val="111111"/>
          <w:lang w:eastAsia="en-GB"/>
        </w:rPr>
        <w:t>On </w:t>
      </w:r>
      <w:hyperlink r:id="rId6" w:history="1">
        <w:r w:rsidR="005F38F7" w:rsidRPr="00565D88">
          <w:rPr>
            <w:rStyle w:val="Hyperlink"/>
            <w:rFonts w:ascii="Arial" w:eastAsia="Times New Roman" w:hAnsi="Arial" w:cs="Arial"/>
            <w:color w:val="FF0000"/>
            <w:u w:val="none"/>
            <w:bdr w:val="none" w:sz="0" w:space="0" w:color="auto" w:frame="1"/>
            <w:lang w:eastAsia="en-GB"/>
          </w:rPr>
          <w:t>10</w:t>
        </w:r>
        <w:r w:rsidR="00654057" w:rsidRPr="00565D88">
          <w:rPr>
            <w:rStyle w:val="Hyperlink"/>
            <w:rFonts w:ascii="Arial" w:eastAsia="Times New Roman" w:hAnsi="Arial" w:cs="Arial"/>
            <w:color w:val="FF0000"/>
            <w:u w:val="none"/>
            <w:bdr w:val="none" w:sz="0" w:space="0" w:color="auto" w:frame="1"/>
            <w:vertAlign w:val="superscript"/>
            <w:lang w:eastAsia="en-GB"/>
          </w:rPr>
          <w:t>th</w:t>
        </w:r>
        <w:r w:rsidR="00654057" w:rsidRPr="00565D88">
          <w:rPr>
            <w:rStyle w:val="Hyperlink"/>
            <w:rFonts w:ascii="Arial" w:eastAsia="Times New Roman" w:hAnsi="Arial" w:cs="Arial"/>
            <w:color w:val="FF0000"/>
            <w:u w:val="none"/>
            <w:bdr w:val="none" w:sz="0" w:space="0" w:color="auto" w:frame="1"/>
            <w:lang w:eastAsia="en-GB"/>
          </w:rPr>
          <w:t xml:space="preserve"> October 2019</w:t>
        </w:r>
      </w:hyperlink>
      <w:r w:rsidRPr="004B0DDE">
        <w:rPr>
          <w:rFonts w:ascii="Arial" w:eastAsia="Times New Roman" w:hAnsi="Arial" w:cs="Arial"/>
          <w:color w:val="111111"/>
          <w:lang w:eastAsia="en-GB"/>
        </w:rPr>
        <w:t xml:space="preserve">, </w:t>
      </w:r>
      <w:r w:rsidR="00654057">
        <w:rPr>
          <w:rFonts w:ascii="Arial" w:eastAsia="Times New Roman" w:hAnsi="Arial" w:cs="Arial"/>
          <w:color w:val="111111"/>
          <w:lang w:eastAsia="en-GB"/>
        </w:rPr>
        <w:t>Royal Wootton Bassett</w:t>
      </w:r>
      <w:r w:rsidRPr="004B0DDE">
        <w:rPr>
          <w:rFonts w:ascii="Arial" w:eastAsia="Times New Roman" w:hAnsi="Arial" w:cs="Arial"/>
          <w:color w:val="111111"/>
          <w:lang w:eastAsia="en-GB"/>
        </w:rPr>
        <w:t xml:space="preserve"> Council voted to </w:t>
      </w:r>
      <w:r w:rsidR="00654057">
        <w:rPr>
          <w:rFonts w:ascii="Arial" w:eastAsia="Times New Roman" w:hAnsi="Arial" w:cs="Arial"/>
          <w:color w:val="111111"/>
          <w:lang w:eastAsia="en-GB"/>
        </w:rPr>
        <w:t xml:space="preserve">review their adopted </w:t>
      </w:r>
      <w:r w:rsidRPr="004B0DDE">
        <w:rPr>
          <w:rFonts w:ascii="Arial" w:eastAsia="Times New Roman" w:hAnsi="Arial" w:cs="Arial"/>
          <w:color w:val="111111"/>
          <w:lang w:eastAsia="en-GB"/>
        </w:rPr>
        <w:t xml:space="preserve">Neighbourhood Plan. </w:t>
      </w:r>
      <w:r w:rsidR="00654057">
        <w:rPr>
          <w:rFonts w:ascii="Arial" w:eastAsia="Times New Roman" w:hAnsi="Arial" w:cs="Arial"/>
          <w:color w:val="111111"/>
          <w:lang w:eastAsia="en-GB"/>
        </w:rPr>
        <w:t>A few selected Councillors were tasked to set up the</w:t>
      </w:r>
      <w:r w:rsidRPr="004B0DDE">
        <w:rPr>
          <w:rFonts w:ascii="Arial" w:eastAsia="Times New Roman" w:hAnsi="Arial" w:cs="Arial"/>
          <w:color w:val="111111"/>
          <w:lang w:eastAsia="en-GB"/>
        </w:rPr>
        <w:t xml:space="preserve"> Neighbourhood Plan </w:t>
      </w:r>
      <w:r w:rsidR="00654057">
        <w:rPr>
          <w:rFonts w:ascii="Arial" w:eastAsia="Times New Roman" w:hAnsi="Arial" w:cs="Arial"/>
          <w:color w:val="111111"/>
          <w:lang w:eastAsia="en-GB"/>
        </w:rPr>
        <w:t xml:space="preserve">Working Party, with a call to </w:t>
      </w:r>
      <w:r w:rsidR="001D4A82">
        <w:rPr>
          <w:rFonts w:ascii="Arial" w:eastAsia="Times New Roman" w:hAnsi="Arial" w:cs="Arial"/>
          <w:color w:val="111111"/>
          <w:lang w:eastAsia="en-GB"/>
        </w:rPr>
        <w:t xml:space="preserve">local </w:t>
      </w:r>
      <w:r w:rsidR="00D9300E">
        <w:rPr>
          <w:rFonts w:ascii="Arial" w:eastAsia="Times New Roman" w:hAnsi="Arial" w:cs="Arial"/>
          <w:color w:val="111111"/>
          <w:lang w:eastAsia="en-GB"/>
        </w:rPr>
        <w:t xml:space="preserve">people </w:t>
      </w:r>
      <w:r w:rsidR="001D4A82">
        <w:rPr>
          <w:rFonts w:ascii="Arial" w:eastAsia="Times New Roman" w:hAnsi="Arial" w:cs="Arial"/>
          <w:color w:val="111111"/>
          <w:lang w:eastAsia="en-GB"/>
        </w:rPr>
        <w:t xml:space="preserve">to </w:t>
      </w:r>
      <w:r w:rsidR="00654057">
        <w:rPr>
          <w:rFonts w:ascii="Arial" w:eastAsia="Times New Roman" w:hAnsi="Arial" w:cs="Arial"/>
          <w:color w:val="111111"/>
          <w:lang w:eastAsia="en-GB"/>
        </w:rPr>
        <w:t>sit on the committee to help the project progress</w:t>
      </w:r>
      <w:r w:rsidR="001D4A82">
        <w:rPr>
          <w:rFonts w:ascii="Arial" w:eastAsia="Times New Roman" w:hAnsi="Arial" w:cs="Arial"/>
          <w:color w:val="111111"/>
          <w:lang w:eastAsia="en-GB"/>
        </w:rPr>
        <w:t xml:space="preserve">. Covid–19 delayed the process, but a planning consultant has been employed to assist in the review of the Plan and now preparations are underway to hold initial </w:t>
      </w:r>
      <w:r w:rsidR="009F46AC">
        <w:rPr>
          <w:rFonts w:ascii="Arial" w:eastAsia="Times New Roman" w:hAnsi="Arial" w:cs="Arial"/>
          <w:color w:val="111111"/>
          <w:lang w:eastAsia="en-GB"/>
        </w:rPr>
        <w:t xml:space="preserve">a </w:t>
      </w:r>
      <w:r w:rsidR="001D4A82">
        <w:rPr>
          <w:rFonts w:ascii="Arial" w:eastAsia="Times New Roman" w:hAnsi="Arial" w:cs="Arial"/>
          <w:color w:val="111111"/>
          <w:lang w:eastAsia="en-GB"/>
        </w:rPr>
        <w:t>public consultation on the current plan</w:t>
      </w:r>
      <w:r w:rsidR="00894E96">
        <w:rPr>
          <w:rFonts w:ascii="Arial" w:eastAsia="Times New Roman" w:hAnsi="Arial" w:cs="Arial"/>
          <w:color w:val="111111"/>
          <w:lang w:eastAsia="en-GB"/>
        </w:rPr>
        <w:t>,</w:t>
      </w:r>
      <w:r w:rsidR="001B5CAF">
        <w:rPr>
          <w:rFonts w:ascii="Arial" w:eastAsia="Times New Roman" w:hAnsi="Arial" w:cs="Arial"/>
          <w:color w:val="111111"/>
          <w:lang w:eastAsia="en-GB"/>
        </w:rPr>
        <w:t xml:space="preserve"> to ensure it is up-to-date and effective and delivers what the town needs</w:t>
      </w:r>
      <w:r w:rsidR="001D4A82">
        <w:rPr>
          <w:rFonts w:ascii="Arial" w:eastAsia="Times New Roman" w:hAnsi="Arial" w:cs="Arial"/>
          <w:color w:val="111111"/>
          <w:lang w:eastAsia="en-GB"/>
        </w:rPr>
        <w:t xml:space="preserve">. </w:t>
      </w:r>
    </w:p>
    <w:p w14:paraId="445257EF" w14:textId="77777777" w:rsidR="005F38F7" w:rsidRDefault="005F38F7" w:rsidP="004B0DDE">
      <w:pPr>
        <w:spacing w:line="384" w:lineRule="atLeast"/>
        <w:textAlignment w:val="baseline"/>
        <w:rPr>
          <w:rFonts w:ascii="Arial" w:eastAsia="Times New Roman" w:hAnsi="Arial" w:cs="Arial"/>
          <w:color w:val="111111"/>
          <w:lang w:eastAsia="en-GB"/>
        </w:rPr>
      </w:pPr>
    </w:p>
    <w:p w14:paraId="260442AB" w14:textId="77777777" w:rsidR="00891979" w:rsidRPr="00855CF4" w:rsidRDefault="0022543F" w:rsidP="00062133">
      <w:pPr>
        <w:spacing w:line="384" w:lineRule="atLeast"/>
        <w:textAlignment w:val="baseline"/>
        <w:rPr>
          <w:rFonts w:ascii="Arial" w:eastAsia="Times New Roman" w:hAnsi="Arial" w:cs="Arial"/>
          <w:b/>
          <w:bCs/>
          <w:i/>
          <w:iCs/>
          <w:color w:val="111111"/>
          <w:lang w:eastAsia="en-GB"/>
        </w:rPr>
      </w:pPr>
      <w:r w:rsidRPr="00855CF4">
        <w:rPr>
          <w:rFonts w:ascii="Arial" w:eastAsia="Times New Roman" w:hAnsi="Arial" w:cs="Arial"/>
          <w:b/>
          <w:bCs/>
          <w:i/>
          <w:iCs/>
          <w:color w:val="111111"/>
          <w:lang w:eastAsia="en-GB"/>
        </w:rPr>
        <w:t xml:space="preserve">But why review our Neighbourhood Plan, now? </w:t>
      </w:r>
      <w:r w:rsidR="00891979" w:rsidRPr="00855CF4">
        <w:rPr>
          <w:rFonts w:ascii="Arial" w:eastAsia="Times New Roman" w:hAnsi="Arial" w:cs="Arial"/>
          <w:b/>
          <w:bCs/>
          <w:i/>
          <w:iCs/>
          <w:color w:val="111111"/>
          <w:lang w:eastAsia="en-GB"/>
        </w:rPr>
        <w:t>Does a Neighbourhood Plan have to be updated every 2 years?</w:t>
      </w:r>
    </w:p>
    <w:p w14:paraId="0C7E619B" w14:textId="77777777" w:rsidR="00891979" w:rsidRDefault="00891979" w:rsidP="00062133">
      <w:pPr>
        <w:spacing w:line="384" w:lineRule="atLeast"/>
        <w:textAlignment w:val="baseline"/>
        <w:rPr>
          <w:rFonts w:ascii="Arial" w:eastAsia="Times New Roman" w:hAnsi="Arial" w:cs="Arial"/>
          <w:color w:val="111111"/>
          <w:lang w:eastAsia="en-GB"/>
        </w:rPr>
      </w:pPr>
    </w:p>
    <w:p w14:paraId="677335B9" w14:textId="6E66EF57" w:rsidR="00A92AE6" w:rsidRDefault="001C505D" w:rsidP="00393FE7">
      <w:pPr>
        <w:spacing w:line="384" w:lineRule="atLeast"/>
        <w:textAlignment w:val="baseline"/>
        <w:rPr>
          <w:rFonts w:ascii="Arial" w:eastAsia="Times New Roman" w:hAnsi="Arial" w:cs="Arial"/>
          <w:color w:val="111111"/>
          <w:lang w:eastAsia="en-GB"/>
        </w:rPr>
      </w:pPr>
      <w:hyperlink r:id="rId7" w:history="1">
        <w:r w:rsidR="00891979" w:rsidRPr="00FF77DD">
          <w:rPr>
            <w:rStyle w:val="Hyperlink"/>
            <w:rFonts w:ascii="Arial" w:eastAsia="Times New Roman" w:hAnsi="Arial" w:cs="Arial"/>
            <w:color w:val="FF0000"/>
            <w:u w:val="none"/>
            <w:lang w:eastAsia="en-GB"/>
          </w:rPr>
          <w:t>N</w:t>
        </w:r>
        <w:r w:rsidR="00321E40" w:rsidRPr="00FF77DD">
          <w:rPr>
            <w:rStyle w:val="Hyperlink"/>
            <w:rFonts w:ascii="Arial" w:eastAsia="Times New Roman" w:hAnsi="Arial" w:cs="Arial"/>
            <w:color w:val="FF0000"/>
            <w:u w:val="none"/>
            <w:lang w:eastAsia="en-GB"/>
          </w:rPr>
          <w:t xml:space="preserve">ational </w:t>
        </w:r>
        <w:r w:rsidR="00891979" w:rsidRPr="00FF77DD">
          <w:rPr>
            <w:rStyle w:val="Hyperlink"/>
            <w:rFonts w:ascii="Arial" w:eastAsia="Times New Roman" w:hAnsi="Arial" w:cs="Arial"/>
            <w:color w:val="FF0000"/>
            <w:u w:val="none"/>
            <w:lang w:eastAsia="en-GB"/>
          </w:rPr>
          <w:t>P</w:t>
        </w:r>
        <w:r w:rsidR="00321E40" w:rsidRPr="00FF77DD">
          <w:rPr>
            <w:rStyle w:val="Hyperlink"/>
            <w:rFonts w:ascii="Arial" w:eastAsia="Times New Roman" w:hAnsi="Arial" w:cs="Arial"/>
            <w:color w:val="FF0000"/>
            <w:u w:val="none"/>
            <w:lang w:eastAsia="en-GB"/>
          </w:rPr>
          <w:t xml:space="preserve">lanning </w:t>
        </w:r>
        <w:r w:rsidR="00891979" w:rsidRPr="00FF77DD">
          <w:rPr>
            <w:rStyle w:val="Hyperlink"/>
            <w:rFonts w:ascii="Arial" w:eastAsia="Times New Roman" w:hAnsi="Arial" w:cs="Arial"/>
            <w:color w:val="FF0000"/>
            <w:u w:val="none"/>
            <w:lang w:eastAsia="en-GB"/>
          </w:rPr>
          <w:t>P</w:t>
        </w:r>
        <w:r w:rsidR="00321E40" w:rsidRPr="00FF77DD">
          <w:rPr>
            <w:rStyle w:val="Hyperlink"/>
            <w:rFonts w:ascii="Arial" w:eastAsia="Times New Roman" w:hAnsi="Arial" w:cs="Arial"/>
            <w:color w:val="FF0000"/>
            <w:u w:val="none"/>
            <w:lang w:eastAsia="en-GB"/>
          </w:rPr>
          <w:t xml:space="preserve">olicy </w:t>
        </w:r>
        <w:r w:rsidR="00891979" w:rsidRPr="00FF77DD">
          <w:rPr>
            <w:rStyle w:val="Hyperlink"/>
            <w:rFonts w:ascii="Arial" w:eastAsia="Times New Roman" w:hAnsi="Arial" w:cs="Arial"/>
            <w:color w:val="FF0000"/>
            <w:u w:val="none"/>
            <w:lang w:eastAsia="en-GB"/>
          </w:rPr>
          <w:t>F</w:t>
        </w:r>
        <w:r w:rsidR="00321E40" w:rsidRPr="00FF77DD">
          <w:rPr>
            <w:rStyle w:val="Hyperlink"/>
            <w:rFonts w:ascii="Arial" w:eastAsia="Times New Roman" w:hAnsi="Arial" w:cs="Arial"/>
            <w:color w:val="FF0000"/>
            <w:u w:val="none"/>
            <w:lang w:eastAsia="en-GB"/>
          </w:rPr>
          <w:t>ramework (NPPF 2019)</w:t>
        </w:r>
        <w:r w:rsidR="00891979" w:rsidRPr="00FF77DD">
          <w:rPr>
            <w:rStyle w:val="Hyperlink"/>
            <w:rFonts w:ascii="Arial" w:eastAsia="Times New Roman" w:hAnsi="Arial" w:cs="Arial"/>
            <w:color w:val="FF0000"/>
            <w:u w:val="none"/>
            <w:lang w:eastAsia="en-GB"/>
          </w:rPr>
          <w:t xml:space="preserve"> guidance</w:t>
        </w:r>
      </w:hyperlink>
      <w:r w:rsidR="00891979">
        <w:rPr>
          <w:rFonts w:ascii="Arial" w:eastAsia="Times New Roman" w:hAnsi="Arial" w:cs="Arial"/>
          <w:color w:val="111111"/>
          <w:lang w:eastAsia="en-GB"/>
        </w:rPr>
        <w:t xml:space="preserve"> advises w</w:t>
      </w:r>
      <w:r w:rsidR="00062133">
        <w:rPr>
          <w:rFonts w:ascii="Arial" w:eastAsia="Times New Roman" w:hAnsi="Arial" w:cs="Arial"/>
          <w:color w:val="111111"/>
          <w:lang w:eastAsia="en-GB"/>
        </w:rPr>
        <w:t xml:space="preserve">hen will it </w:t>
      </w:r>
      <w:r w:rsidR="00393FE7">
        <w:rPr>
          <w:rFonts w:ascii="Arial" w:eastAsia="Times New Roman" w:hAnsi="Arial" w:cs="Arial"/>
          <w:color w:val="111111"/>
          <w:lang w:eastAsia="en-GB"/>
        </w:rPr>
        <w:t xml:space="preserve">may </w:t>
      </w:r>
      <w:r w:rsidR="00062133">
        <w:rPr>
          <w:rFonts w:ascii="Arial" w:eastAsia="Times New Roman" w:hAnsi="Arial" w:cs="Arial"/>
          <w:color w:val="111111"/>
          <w:lang w:eastAsia="en-GB"/>
        </w:rPr>
        <w:t>be necessary to review and update a n</w:t>
      </w:r>
      <w:r w:rsidR="00891979">
        <w:rPr>
          <w:rFonts w:ascii="Arial" w:eastAsia="Times New Roman" w:hAnsi="Arial" w:cs="Arial"/>
          <w:color w:val="111111"/>
          <w:lang w:eastAsia="en-GB"/>
        </w:rPr>
        <w:t xml:space="preserve">eighbourhood plan. </w:t>
      </w:r>
      <w:r w:rsidR="00A92AE6">
        <w:rPr>
          <w:rFonts w:ascii="Arial" w:eastAsia="Times New Roman" w:hAnsi="Arial" w:cs="Arial"/>
          <w:color w:val="111111"/>
          <w:lang w:eastAsia="en-GB"/>
        </w:rPr>
        <w:t>Whilst the guidance states there is no timeframe to review or update, it suggests the following events may trigger a review:</w:t>
      </w:r>
    </w:p>
    <w:p w14:paraId="49E0DFCF" w14:textId="77777777" w:rsidR="00321E40" w:rsidRDefault="00321E40" w:rsidP="00321E40">
      <w:pPr>
        <w:pStyle w:val="ListParagraph"/>
        <w:numPr>
          <w:ilvl w:val="0"/>
          <w:numId w:val="1"/>
        </w:numPr>
        <w:spacing w:line="384" w:lineRule="atLeast"/>
        <w:textAlignment w:val="baseline"/>
        <w:rPr>
          <w:rFonts w:ascii="Arial" w:eastAsia="Times New Roman" w:hAnsi="Arial" w:cs="Arial"/>
          <w:color w:val="111111"/>
          <w:lang w:eastAsia="en-GB"/>
        </w:rPr>
      </w:pPr>
      <w:r>
        <w:rPr>
          <w:rFonts w:ascii="Arial" w:eastAsia="Times New Roman" w:hAnsi="Arial" w:cs="Arial"/>
          <w:color w:val="111111"/>
          <w:lang w:eastAsia="en-GB"/>
        </w:rPr>
        <w:lastRenderedPageBreak/>
        <w:t>Where a policy has been in force for a period of time, other material considerations maybe given greater weight in planning decisions as the evidence base for the plan policy becomes less robust.</w:t>
      </w:r>
    </w:p>
    <w:p w14:paraId="52F6EDBA" w14:textId="0F2F3373" w:rsidR="00A92AE6" w:rsidRDefault="00A92AE6" w:rsidP="00A92AE6">
      <w:pPr>
        <w:pStyle w:val="ListParagraph"/>
        <w:numPr>
          <w:ilvl w:val="0"/>
          <w:numId w:val="1"/>
        </w:numPr>
        <w:spacing w:line="384" w:lineRule="atLeast"/>
        <w:textAlignment w:val="baseline"/>
        <w:rPr>
          <w:rFonts w:ascii="Arial" w:eastAsia="Times New Roman" w:hAnsi="Arial" w:cs="Arial"/>
          <w:color w:val="111111"/>
          <w:lang w:eastAsia="en-GB"/>
        </w:rPr>
      </w:pPr>
      <w:r>
        <w:rPr>
          <w:rFonts w:ascii="Arial" w:eastAsia="Times New Roman" w:hAnsi="Arial" w:cs="Arial"/>
          <w:color w:val="111111"/>
          <w:lang w:eastAsia="en-GB"/>
        </w:rPr>
        <w:t>When local plan</w:t>
      </w:r>
      <w:r w:rsidRPr="00A92AE6">
        <w:rPr>
          <w:rFonts w:ascii="Arial" w:eastAsia="Times New Roman" w:hAnsi="Arial" w:cs="Arial"/>
          <w:color w:val="111111"/>
          <w:lang w:eastAsia="en-GB"/>
        </w:rPr>
        <w:t xml:space="preserve"> </w:t>
      </w:r>
      <w:r>
        <w:rPr>
          <w:rFonts w:ascii="Arial" w:eastAsia="Times New Roman" w:hAnsi="Arial" w:cs="Arial"/>
          <w:color w:val="111111"/>
          <w:lang w:eastAsia="en-GB"/>
        </w:rPr>
        <w:t>policies</w:t>
      </w:r>
      <w:r w:rsidRPr="00A92AE6">
        <w:rPr>
          <w:rFonts w:ascii="Arial" w:eastAsia="Times New Roman" w:hAnsi="Arial" w:cs="Arial"/>
          <w:color w:val="111111"/>
          <w:lang w:eastAsia="en-GB"/>
        </w:rPr>
        <w:t xml:space="preserve"> </w:t>
      </w:r>
      <w:r>
        <w:rPr>
          <w:rFonts w:ascii="Arial" w:eastAsia="Times New Roman" w:hAnsi="Arial" w:cs="Arial"/>
          <w:color w:val="111111"/>
          <w:lang w:eastAsia="en-GB"/>
        </w:rPr>
        <w:t xml:space="preserve">covering the neighbourhood plan area, conflicts with neighbourhood </w:t>
      </w:r>
      <w:r w:rsidR="009F46AC">
        <w:rPr>
          <w:rFonts w:ascii="Arial" w:eastAsia="Times New Roman" w:hAnsi="Arial" w:cs="Arial"/>
          <w:color w:val="111111"/>
          <w:lang w:eastAsia="en-GB"/>
        </w:rPr>
        <w:t xml:space="preserve">plan </w:t>
      </w:r>
      <w:r>
        <w:rPr>
          <w:rFonts w:ascii="Arial" w:eastAsia="Times New Roman" w:hAnsi="Arial" w:cs="Arial"/>
          <w:color w:val="111111"/>
          <w:lang w:eastAsia="en-GB"/>
        </w:rPr>
        <w:t xml:space="preserve">policies and is adopted after the ‘made” neighbourhood plan. </w:t>
      </w:r>
    </w:p>
    <w:p w14:paraId="660AD721" w14:textId="77777777" w:rsidR="00C07B35" w:rsidRPr="00A92AE6" w:rsidRDefault="00321E40" w:rsidP="00A92AE6">
      <w:pPr>
        <w:pStyle w:val="ListParagraph"/>
        <w:numPr>
          <w:ilvl w:val="0"/>
          <w:numId w:val="1"/>
        </w:numPr>
        <w:spacing w:line="384" w:lineRule="atLeast"/>
        <w:textAlignment w:val="baseline"/>
        <w:rPr>
          <w:rFonts w:ascii="Arial" w:eastAsia="Times New Roman" w:hAnsi="Arial" w:cs="Arial"/>
          <w:color w:val="111111"/>
          <w:lang w:eastAsia="en-GB"/>
        </w:rPr>
      </w:pPr>
      <w:r>
        <w:rPr>
          <w:rFonts w:ascii="Arial" w:eastAsia="Times New Roman" w:hAnsi="Arial" w:cs="Arial"/>
          <w:color w:val="111111"/>
          <w:lang w:eastAsia="en-GB"/>
        </w:rPr>
        <w:t>When strategic housing policies in a local plan sets out a housing requirement for a designated neighbourhood area.</w:t>
      </w:r>
    </w:p>
    <w:p w14:paraId="48EBEFAB" w14:textId="647C68A2" w:rsidR="00A92AE6" w:rsidRDefault="00A92AE6" w:rsidP="00393FE7">
      <w:pPr>
        <w:spacing w:line="384" w:lineRule="atLeast"/>
        <w:textAlignment w:val="baseline"/>
        <w:rPr>
          <w:rFonts w:ascii="Arial" w:eastAsia="Times New Roman" w:hAnsi="Arial" w:cs="Arial"/>
          <w:color w:val="111111"/>
          <w:lang w:eastAsia="en-GB"/>
        </w:rPr>
      </w:pPr>
    </w:p>
    <w:p w14:paraId="13C6EF36" w14:textId="5948D7E9" w:rsidR="008B41FA" w:rsidRDefault="008B41FA" w:rsidP="00393FE7">
      <w:pPr>
        <w:spacing w:line="384" w:lineRule="atLeast"/>
        <w:textAlignment w:val="baseline"/>
        <w:rPr>
          <w:rFonts w:ascii="Arial" w:eastAsia="Times New Roman" w:hAnsi="Arial" w:cs="Arial"/>
          <w:color w:val="111111"/>
          <w:lang w:eastAsia="en-GB"/>
        </w:rPr>
      </w:pPr>
      <w:r>
        <w:rPr>
          <w:rFonts w:ascii="Arial" w:eastAsia="Times New Roman" w:hAnsi="Arial" w:cs="Arial"/>
          <w:color w:val="111111"/>
          <w:lang w:eastAsia="en-GB"/>
        </w:rPr>
        <w:t xml:space="preserve">Wiltshire Council has a pivotal role to support Neighbourhood Planning, with guidance </w:t>
      </w:r>
      <w:r w:rsidR="009E28EF">
        <w:rPr>
          <w:rFonts w:ascii="Arial" w:eastAsia="Times New Roman" w:hAnsi="Arial" w:cs="Arial"/>
          <w:color w:val="111111"/>
          <w:lang w:eastAsia="en-GB"/>
        </w:rPr>
        <w:t>and advi</w:t>
      </w:r>
      <w:r w:rsidR="001168B5">
        <w:rPr>
          <w:rFonts w:ascii="Arial" w:eastAsia="Times New Roman" w:hAnsi="Arial" w:cs="Arial"/>
          <w:color w:val="111111"/>
          <w:lang w:eastAsia="en-GB"/>
        </w:rPr>
        <w:t>c</w:t>
      </w:r>
      <w:r w:rsidR="009E28EF">
        <w:rPr>
          <w:rFonts w:ascii="Arial" w:eastAsia="Times New Roman" w:hAnsi="Arial" w:cs="Arial"/>
          <w:color w:val="111111"/>
          <w:lang w:eastAsia="en-GB"/>
        </w:rPr>
        <w:t xml:space="preserve">e found on their </w:t>
      </w:r>
      <w:hyperlink r:id="rId8" w:history="1">
        <w:r w:rsidR="009E28EF" w:rsidRPr="007B093A">
          <w:rPr>
            <w:rStyle w:val="Hyperlink"/>
            <w:rFonts w:ascii="Arial" w:eastAsia="Times New Roman" w:hAnsi="Arial" w:cs="Arial"/>
            <w:color w:val="FF0000"/>
            <w:u w:val="none"/>
            <w:lang w:eastAsia="en-GB"/>
          </w:rPr>
          <w:t>website</w:t>
        </w:r>
      </w:hyperlink>
      <w:r w:rsidR="009E28EF" w:rsidRPr="007B093A">
        <w:rPr>
          <w:rFonts w:ascii="Arial" w:eastAsia="Times New Roman" w:hAnsi="Arial" w:cs="Arial"/>
          <w:color w:val="FF0000"/>
          <w:lang w:eastAsia="en-GB"/>
        </w:rPr>
        <w:t>.</w:t>
      </w:r>
    </w:p>
    <w:p w14:paraId="450755AB" w14:textId="77777777" w:rsidR="004B0DDE" w:rsidRPr="004B0DDE" w:rsidRDefault="004B0DDE" w:rsidP="004B0DDE">
      <w:pPr>
        <w:spacing w:before="288" w:after="72" w:line="240" w:lineRule="atLeast"/>
        <w:textAlignment w:val="baseline"/>
        <w:outlineLvl w:val="2"/>
        <w:rPr>
          <w:rFonts w:ascii="inherit" w:eastAsia="Times New Roman" w:hAnsi="inherit" w:cs="Arial"/>
          <w:b/>
          <w:bCs/>
          <w:color w:val="222222"/>
          <w:sz w:val="36"/>
          <w:szCs w:val="36"/>
          <w:lang w:eastAsia="en-GB"/>
        </w:rPr>
      </w:pPr>
      <w:r w:rsidRPr="004B0DDE">
        <w:rPr>
          <w:rFonts w:ascii="inherit" w:eastAsia="Times New Roman" w:hAnsi="inherit" w:cs="Arial"/>
          <w:b/>
          <w:bCs/>
          <w:color w:val="222222"/>
          <w:sz w:val="36"/>
          <w:szCs w:val="36"/>
          <w:lang w:eastAsia="en-GB"/>
        </w:rPr>
        <w:t>Local Plan</w:t>
      </w:r>
    </w:p>
    <w:p w14:paraId="456E5378" w14:textId="4ED9A507" w:rsidR="001B5CAF" w:rsidRDefault="001C505D" w:rsidP="004B0DDE">
      <w:pPr>
        <w:spacing w:line="384" w:lineRule="atLeast"/>
        <w:textAlignment w:val="baseline"/>
        <w:rPr>
          <w:rFonts w:ascii="Arial" w:eastAsia="Times New Roman" w:hAnsi="Arial" w:cs="Arial"/>
          <w:color w:val="111111"/>
          <w:lang w:eastAsia="en-GB"/>
        </w:rPr>
      </w:pPr>
      <w:hyperlink r:id="rId9" w:anchor="paragraph_153" w:history="1">
        <w:r w:rsidR="004B0DDE" w:rsidRPr="004B0DDE">
          <w:rPr>
            <w:rFonts w:ascii="Arial" w:eastAsia="Times New Roman" w:hAnsi="Arial" w:cs="Arial"/>
            <w:color w:val="E84747"/>
            <w:bdr w:val="none" w:sz="0" w:space="0" w:color="auto" w:frame="1"/>
            <w:lang w:eastAsia="en-GB"/>
          </w:rPr>
          <w:t>Paragraph 153</w:t>
        </w:r>
      </w:hyperlink>
      <w:r w:rsidR="004B0DDE" w:rsidRPr="004B0DDE">
        <w:rPr>
          <w:rFonts w:ascii="Arial" w:eastAsia="Times New Roman" w:hAnsi="Arial" w:cs="Arial"/>
          <w:color w:val="111111"/>
          <w:lang w:eastAsia="en-GB"/>
        </w:rPr>
        <w:t> of the </w:t>
      </w:r>
      <w:hyperlink r:id="rId10" w:history="1">
        <w:r w:rsidR="004B0DDE" w:rsidRPr="004B0DDE">
          <w:rPr>
            <w:rFonts w:ascii="Arial" w:eastAsia="Times New Roman" w:hAnsi="Arial" w:cs="Arial"/>
            <w:color w:val="E84747"/>
            <w:bdr w:val="none" w:sz="0" w:space="0" w:color="auto" w:frame="1"/>
            <w:lang w:eastAsia="en-GB"/>
          </w:rPr>
          <w:t>National Planning Policy Framework</w:t>
        </w:r>
      </w:hyperlink>
      <w:r w:rsidR="004B0DDE" w:rsidRPr="004B0DDE">
        <w:rPr>
          <w:rFonts w:ascii="Arial" w:eastAsia="Times New Roman" w:hAnsi="Arial" w:cs="Arial"/>
          <w:color w:val="111111"/>
          <w:lang w:eastAsia="en-GB"/>
        </w:rPr>
        <w:t> requires that each planning authority (in R</w:t>
      </w:r>
      <w:r w:rsidR="00654057">
        <w:rPr>
          <w:rFonts w:ascii="Arial" w:eastAsia="Times New Roman" w:hAnsi="Arial" w:cs="Arial"/>
          <w:color w:val="111111"/>
          <w:lang w:eastAsia="en-GB"/>
        </w:rPr>
        <w:t>oyal Wootton Bassett’s case is Wiltshire Council</w:t>
      </w:r>
      <w:r w:rsidR="004B0DDE" w:rsidRPr="004B0DDE">
        <w:rPr>
          <w:rFonts w:ascii="Arial" w:eastAsia="Times New Roman" w:hAnsi="Arial" w:cs="Arial"/>
          <w:color w:val="111111"/>
          <w:lang w:eastAsia="en-GB"/>
        </w:rPr>
        <w:t xml:space="preserve">) should prepare a Local Plan for its area. Local Plans provide the framework for future development and address the needs and opportunities of communities. Local Plans must contribute to the achievement of sustainable </w:t>
      </w:r>
      <w:r w:rsidR="007573A4" w:rsidRPr="004B0DDE">
        <w:rPr>
          <w:rFonts w:ascii="Arial" w:eastAsia="Times New Roman" w:hAnsi="Arial" w:cs="Arial"/>
          <w:color w:val="111111"/>
          <w:lang w:eastAsia="en-GB"/>
        </w:rPr>
        <w:t>development and</w:t>
      </w:r>
      <w:r w:rsidR="004B0DDE" w:rsidRPr="004B0DDE">
        <w:rPr>
          <w:rFonts w:ascii="Arial" w:eastAsia="Times New Roman" w:hAnsi="Arial" w:cs="Arial"/>
          <w:color w:val="111111"/>
          <w:lang w:eastAsia="en-GB"/>
        </w:rPr>
        <w:t xml:space="preserve"> be consistent with the principles and policies in the government’s National Planning Policy Framework. In essence, Local Plans should set out what the opportunities are for development in the </w:t>
      </w:r>
      <w:r w:rsidR="007573A4" w:rsidRPr="004B0DDE">
        <w:rPr>
          <w:rFonts w:ascii="Arial" w:eastAsia="Times New Roman" w:hAnsi="Arial" w:cs="Arial"/>
          <w:color w:val="111111"/>
          <w:lang w:eastAsia="en-GB"/>
        </w:rPr>
        <w:t>area and</w:t>
      </w:r>
      <w:r w:rsidR="004B0DDE" w:rsidRPr="004B0DDE">
        <w:rPr>
          <w:rFonts w:ascii="Arial" w:eastAsia="Times New Roman" w:hAnsi="Arial" w:cs="Arial"/>
          <w:color w:val="111111"/>
          <w:lang w:eastAsia="en-GB"/>
        </w:rPr>
        <w:t xml:space="preserve"> say what will and will not be permitted and where. Local Plans are at the heart of the planning system and an important consideration in deciding planning applications. They set the framework in which decisions on particular proposals are taken locally. The law makes it clear that decisions on planning applications should be made in accordance with the policies and proposals within the development plan unless other strong planning reasons or ‘material considerations’ indicate otherwise. </w:t>
      </w:r>
    </w:p>
    <w:p w14:paraId="3484EDF9" w14:textId="77777777" w:rsidR="00D9300E" w:rsidRDefault="00D9300E" w:rsidP="004B0DDE">
      <w:pPr>
        <w:spacing w:line="384" w:lineRule="atLeast"/>
        <w:textAlignment w:val="baseline"/>
        <w:rPr>
          <w:rFonts w:ascii="Arial" w:eastAsia="Times New Roman" w:hAnsi="Arial" w:cs="Arial"/>
          <w:color w:val="111111"/>
          <w:lang w:eastAsia="en-GB"/>
        </w:rPr>
      </w:pPr>
    </w:p>
    <w:p w14:paraId="6AAA38F4" w14:textId="7553E7B6" w:rsidR="005F38F7" w:rsidRDefault="001B5CAF" w:rsidP="004B0DDE">
      <w:pPr>
        <w:spacing w:line="384" w:lineRule="atLeast"/>
        <w:textAlignment w:val="baseline"/>
        <w:rPr>
          <w:rFonts w:ascii="Arial" w:eastAsia="Times New Roman" w:hAnsi="Arial" w:cs="Arial"/>
          <w:color w:val="111111"/>
          <w:lang w:eastAsia="en-GB"/>
        </w:rPr>
      </w:pPr>
      <w:r>
        <w:rPr>
          <w:rFonts w:ascii="Arial" w:eastAsia="Times New Roman" w:hAnsi="Arial" w:cs="Arial"/>
          <w:color w:val="111111"/>
          <w:lang w:eastAsia="en-GB"/>
        </w:rPr>
        <w:t xml:space="preserve">Under the Planning and Compulsory Purchase Act 2004 (as amended) Wiltshire Council has a statutory duty to prepare and maintain a </w:t>
      </w:r>
      <w:hyperlink r:id="rId11" w:history="1">
        <w:r w:rsidRPr="009E28EF">
          <w:rPr>
            <w:rStyle w:val="Hyperlink"/>
            <w:rFonts w:ascii="Arial" w:eastAsia="Times New Roman" w:hAnsi="Arial" w:cs="Arial"/>
            <w:color w:val="FF0000"/>
            <w:u w:val="none"/>
            <w:lang w:eastAsia="en-GB"/>
          </w:rPr>
          <w:t>Local Development Plan Scheme (LDS)</w:t>
        </w:r>
      </w:hyperlink>
      <w:r w:rsidR="00D9300E">
        <w:rPr>
          <w:rFonts w:ascii="Arial" w:eastAsia="Times New Roman" w:hAnsi="Arial" w:cs="Arial"/>
          <w:color w:val="111111"/>
          <w:lang w:eastAsia="en-GB"/>
        </w:rPr>
        <w:t xml:space="preserve"> and o</w:t>
      </w:r>
      <w:r>
        <w:rPr>
          <w:rFonts w:ascii="Arial" w:eastAsia="Times New Roman" w:hAnsi="Arial" w:cs="Arial"/>
          <w:color w:val="111111"/>
          <w:lang w:eastAsia="en-GB"/>
        </w:rPr>
        <w:t>n 26</w:t>
      </w:r>
      <w:r w:rsidRPr="005F38F7">
        <w:rPr>
          <w:rFonts w:ascii="Arial" w:eastAsia="Times New Roman" w:hAnsi="Arial" w:cs="Arial"/>
          <w:color w:val="111111"/>
          <w:vertAlign w:val="superscript"/>
          <w:lang w:eastAsia="en-GB"/>
        </w:rPr>
        <w:t>th</w:t>
      </w:r>
      <w:r>
        <w:rPr>
          <w:rFonts w:ascii="Arial" w:eastAsia="Times New Roman" w:hAnsi="Arial" w:cs="Arial"/>
          <w:color w:val="111111"/>
          <w:lang w:eastAsia="en-GB"/>
        </w:rPr>
        <w:t xml:space="preserve"> March 2019 Cabinet approved to undertake to revise their Core Strategy adopted 2015 to cover the period 2016 – 2036</w:t>
      </w:r>
      <w:r w:rsidR="00AF5866">
        <w:rPr>
          <w:rFonts w:ascii="Arial" w:eastAsia="Times New Roman" w:hAnsi="Arial" w:cs="Arial"/>
          <w:color w:val="111111"/>
          <w:lang w:eastAsia="en-GB"/>
        </w:rPr>
        <w:t xml:space="preserve">, to be </w:t>
      </w:r>
      <w:r w:rsidR="00527260">
        <w:rPr>
          <w:rFonts w:ascii="Arial" w:eastAsia="Times New Roman" w:hAnsi="Arial" w:cs="Arial"/>
          <w:color w:val="111111"/>
          <w:lang w:eastAsia="en-GB"/>
        </w:rPr>
        <w:t xml:space="preserve">known as the </w:t>
      </w:r>
      <w:hyperlink r:id="rId12" w:history="1">
        <w:r w:rsidR="00527260" w:rsidRPr="007B093A">
          <w:rPr>
            <w:rStyle w:val="Hyperlink"/>
            <w:rFonts w:ascii="Arial" w:eastAsia="Times New Roman" w:hAnsi="Arial" w:cs="Arial"/>
            <w:color w:val="FF0000"/>
            <w:u w:val="none"/>
            <w:lang w:eastAsia="en-GB"/>
          </w:rPr>
          <w:t>Local Plan Review</w:t>
        </w:r>
      </w:hyperlink>
      <w:r w:rsidRPr="007B093A">
        <w:rPr>
          <w:rFonts w:ascii="Arial" w:eastAsia="Times New Roman" w:hAnsi="Arial" w:cs="Arial"/>
          <w:color w:val="FF0000"/>
          <w:lang w:eastAsia="en-GB"/>
        </w:rPr>
        <w:t xml:space="preserve">. </w:t>
      </w:r>
      <w:r>
        <w:rPr>
          <w:rFonts w:ascii="Arial" w:eastAsia="Times New Roman" w:hAnsi="Arial" w:cs="Arial"/>
          <w:color w:val="111111"/>
          <w:lang w:eastAsia="en-GB"/>
        </w:rPr>
        <w:t xml:space="preserve">At that time, it was envisaged the work would be carried out for the period 2019-2022, but </w:t>
      </w:r>
      <w:r w:rsidR="00EC2F5F">
        <w:rPr>
          <w:rFonts w:ascii="Arial" w:eastAsia="Times New Roman" w:hAnsi="Arial" w:cs="Arial"/>
          <w:color w:val="111111"/>
          <w:lang w:eastAsia="en-GB"/>
        </w:rPr>
        <w:t xml:space="preserve">the </w:t>
      </w:r>
      <w:r>
        <w:rPr>
          <w:rFonts w:ascii="Arial" w:eastAsia="Times New Roman" w:hAnsi="Arial" w:cs="Arial"/>
          <w:color w:val="111111"/>
          <w:lang w:eastAsia="en-GB"/>
        </w:rPr>
        <w:t xml:space="preserve">Covid-19 </w:t>
      </w:r>
      <w:r w:rsidR="00EC2F5F">
        <w:rPr>
          <w:rFonts w:ascii="Arial" w:eastAsia="Times New Roman" w:hAnsi="Arial" w:cs="Arial"/>
          <w:color w:val="111111"/>
          <w:lang w:eastAsia="en-GB"/>
        </w:rPr>
        <w:t xml:space="preserve">pandemic </w:t>
      </w:r>
      <w:r>
        <w:rPr>
          <w:rFonts w:ascii="Arial" w:eastAsia="Times New Roman" w:hAnsi="Arial" w:cs="Arial"/>
          <w:color w:val="111111"/>
          <w:lang w:eastAsia="en-GB"/>
        </w:rPr>
        <w:t>impact has meant the timeframe has been extended to 2023.</w:t>
      </w:r>
    </w:p>
    <w:p w14:paraId="1F57DE21" w14:textId="77777777" w:rsidR="001B5CAF" w:rsidRDefault="001B5CAF" w:rsidP="004B0DDE">
      <w:pPr>
        <w:spacing w:line="384" w:lineRule="atLeast"/>
        <w:textAlignment w:val="baseline"/>
        <w:rPr>
          <w:rFonts w:ascii="Arial" w:eastAsia="Times New Roman" w:hAnsi="Arial" w:cs="Arial"/>
          <w:color w:val="111111"/>
          <w:lang w:eastAsia="en-GB"/>
        </w:rPr>
      </w:pPr>
    </w:p>
    <w:p w14:paraId="08F16AA3" w14:textId="52EFA568" w:rsidR="005F38F7" w:rsidRDefault="00EC2F5F" w:rsidP="004B0DDE">
      <w:pPr>
        <w:spacing w:line="384" w:lineRule="atLeast"/>
        <w:textAlignment w:val="baseline"/>
        <w:rPr>
          <w:rFonts w:ascii="Arial" w:eastAsia="Times New Roman" w:hAnsi="Arial" w:cs="Arial"/>
          <w:color w:val="111111"/>
          <w:lang w:eastAsia="en-GB"/>
        </w:rPr>
      </w:pPr>
      <w:r>
        <w:rPr>
          <w:rFonts w:ascii="Arial" w:eastAsia="Times New Roman" w:hAnsi="Arial" w:cs="Arial"/>
          <w:color w:val="111111"/>
          <w:lang w:eastAsia="en-GB"/>
        </w:rPr>
        <w:lastRenderedPageBreak/>
        <w:t>At</w:t>
      </w:r>
      <w:r w:rsidR="00894E96">
        <w:rPr>
          <w:rFonts w:ascii="Arial" w:eastAsia="Times New Roman" w:hAnsi="Arial" w:cs="Arial"/>
          <w:color w:val="111111"/>
          <w:lang w:eastAsia="en-GB"/>
        </w:rPr>
        <w:t xml:space="preserve"> </w:t>
      </w:r>
      <w:r w:rsidR="001168B5">
        <w:rPr>
          <w:rFonts w:ascii="Arial" w:eastAsia="Times New Roman" w:hAnsi="Arial" w:cs="Arial"/>
          <w:color w:val="111111"/>
          <w:lang w:eastAsia="en-GB"/>
        </w:rPr>
        <w:t xml:space="preserve">a </w:t>
      </w:r>
      <w:r>
        <w:rPr>
          <w:rFonts w:ascii="Arial" w:eastAsia="Times New Roman" w:hAnsi="Arial" w:cs="Arial"/>
          <w:color w:val="111111"/>
          <w:lang w:eastAsia="en-GB"/>
        </w:rPr>
        <w:t xml:space="preserve">meeting </w:t>
      </w:r>
      <w:r w:rsidR="00894E96">
        <w:rPr>
          <w:rFonts w:ascii="Arial" w:eastAsia="Times New Roman" w:hAnsi="Arial" w:cs="Arial"/>
          <w:color w:val="111111"/>
          <w:lang w:eastAsia="en-GB"/>
        </w:rPr>
        <w:t>on 30</w:t>
      </w:r>
      <w:r w:rsidR="00894E96" w:rsidRPr="00894E96">
        <w:rPr>
          <w:rFonts w:ascii="Arial" w:eastAsia="Times New Roman" w:hAnsi="Arial" w:cs="Arial"/>
          <w:color w:val="111111"/>
          <w:vertAlign w:val="superscript"/>
          <w:lang w:eastAsia="en-GB"/>
        </w:rPr>
        <w:t>th</w:t>
      </w:r>
      <w:r w:rsidR="00894E96">
        <w:rPr>
          <w:rFonts w:ascii="Arial" w:eastAsia="Times New Roman" w:hAnsi="Arial" w:cs="Arial"/>
          <w:color w:val="111111"/>
          <w:lang w:eastAsia="en-GB"/>
        </w:rPr>
        <w:t xml:space="preserve"> April 2019</w:t>
      </w:r>
      <w:r>
        <w:rPr>
          <w:rFonts w:ascii="Arial" w:eastAsia="Times New Roman" w:hAnsi="Arial" w:cs="Arial"/>
          <w:color w:val="111111"/>
          <w:lang w:eastAsia="en-GB"/>
        </w:rPr>
        <w:t xml:space="preserve">, </w:t>
      </w:r>
      <w:r w:rsidR="001168B5">
        <w:rPr>
          <w:rFonts w:ascii="Arial" w:eastAsia="Times New Roman" w:hAnsi="Arial" w:cs="Arial"/>
          <w:color w:val="111111"/>
          <w:lang w:eastAsia="en-GB"/>
        </w:rPr>
        <w:t xml:space="preserve">Cabinet </w:t>
      </w:r>
      <w:r>
        <w:rPr>
          <w:rFonts w:ascii="Arial" w:eastAsia="Times New Roman" w:hAnsi="Arial" w:cs="Arial"/>
          <w:color w:val="111111"/>
          <w:lang w:eastAsia="en-GB"/>
        </w:rPr>
        <w:t>members</w:t>
      </w:r>
      <w:r w:rsidR="00894E96">
        <w:rPr>
          <w:rFonts w:ascii="Arial" w:eastAsia="Times New Roman" w:hAnsi="Arial" w:cs="Arial"/>
          <w:color w:val="111111"/>
          <w:lang w:eastAsia="en-GB"/>
        </w:rPr>
        <w:t xml:space="preserve"> considered the question on the number of new homes Wiltshire should plan to accommodate over the period 2016 – 2036 and how they should be disturbed throughout the county. </w:t>
      </w:r>
      <w:hyperlink r:id="rId13" w:history="1">
        <w:r w:rsidR="0022543F" w:rsidRPr="00676F05">
          <w:rPr>
            <w:rStyle w:val="Hyperlink"/>
            <w:rFonts w:ascii="Arial" w:eastAsia="Times New Roman" w:hAnsi="Arial" w:cs="Arial"/>
            <w:color w:val="FF0000"/>
            <w:u w:val="none"/>
            <w:lang w:eastAsia="en-GB"/>
          </w:rPr>
          <w:t>Royal Wootton Bassett proposed requirement growth</w:t>
        </w:r>
      </w:hyperlink>
      <w:r>
        <w:rPr>
          <w:rFonts w:ascii="Arial" w:eastAsia="Times New Roman" w:hAnsi="Arial" w:cs="Arial"/>
          <w:color w:val="111111"/>
          <w:lang w:eastAsia="en-GB"/>
        </w:rPr>
        <w:t>,</w:t>
      </w:r>
      <w:r w:rsidR="0022543F">
        <w:rPr>
          <w:rFonts w:ascii="Arial" w:eastAsia="Times New Roman" w:hAnsi="Arial" w:cs="Arial"/>
          <w:color w:val="111111"/>
          <w:lang w:eastAsia="en-GB"/>
        </w:rPr>
        <w:t xml:space="preserve"> </w:t>
      </w:r>
      <w:r>
        <w:rPr>
          <w:rFonts w:ascii="Arial" w:eastAsia="Times New Roman" w:hAnsi="Arial" w:cs="Arial"/>
          <w:color w:val="111111"/>
          <w:lang w:eastAsia="en-GB"/>
        </w:rPr>
        <w:t xml:space="preserve">currently </w:t>
      </w:r>
      <w:r w:rsidR="0022543F">
        <w:rPr>
          <w:rFonts w:ascii="Arial" w:eastAsia="Times New Roman" w:hAnsi="Arial" w:cs="Arial"/>
          <w:color w:val="111111"/>
          <w:lang w:eastAsia="en-GB"/>
        </w:rPr>
        <w:t>being tested</w:t>
      </w:r>
      <w:r>
        <w:rPr>
          <w:rFonts w:ascii="Arial" w:eastAsia="Times New Roman" w:hAnsi="Arial" w:cs="Arial"/>
          <w:color w:val="111111"/>
          <w:lang w:eastAsia="en-GB"/>
        </w:rPr>
        <w:t>,</w:t>
      </w:r>
      <w:r w:rsidR="0022543F">
        <w:rPr>
          <w:rFonts w:ascii="Arial" w:eastAsia="Times New Roman" w:hAnsi="Arial" w:cs="Arial"/>
          <w:color w:val="111111"/>
          <w:lang w:eastAsia="en-GB"/>
        </w:rPr>
        <w:t xml:space="preserve"> is </w:t>
      </w:r>
      <w:r>
        <w:rPr>
          <w:rFonts w:ascii="Arial" w:eastAsia="Times New Roman" w:hAnsi="Arial" w:cs="Arial"/>
          <w:color w:val="111111"/>
          <w:lang w:eastAsia="en-GB"/>
        </w:rPr>
        <w:t xml:space="preserve">for </w:t>
      </w:r>
      <w:r w:rsidR="0022543F" w:rsidRPr="001C505D">
        <w:rPr>
          <w:rFonts w:ascii="Arial" w:eastAsia="Times New Roman" w:hAnsi="Arial" w:cs="Arial"/>
          <w:lang w:eastAsia="en-GB"/>
        </w:rPr>
        <w:t xml:space="preserve">1255 </w:t>
      </w:r>
      <w:r w:rsidR="00D9300E" w:rsidRPr="001C505D">
        <w:rPr>
          <w:rFonts w:ascii="Arial" w:eastAsia="Times New Roman" w:hAnsi="Arial" w:cs="Arial"/>
          <w:lang w:eastAsia="en-GB"/>
        </w:rPr>
        <w:t>new homes</w:t>
      </w:r>
      <w:r w:rsidR="00031EF3">
        <w:rPr>
          <w:rFonts w:ascii="Arial" w:eastAsia="Times New Roman" w:hAnsi="Arial" w:cs="Arial"/>
          <w:color w:val="111111"/>
          <w:lang w:eastAsia="en-GB"/>
        </w:rPr>
        <w:t>, 1026 residual</w:t>
      </w:r>
      <w:r w:rsidR="00D9300E">
        <w:rPr>
          <w:rFonts w:ascii="Arial" w:eastAsia="Times New Roman" w:hAnsi="Arial" w:cs="Arial"/>
          <w:color w:val="111111"/>
          <w:lang w:eastAsia="en-GB"/>
        </w:rPr>
        <w:t xml:space="preserve"> </w:t>
      </w:r>
      <w:r w:rsidR="001168B5">
        <w:rPr>
          <w:rFonts w:ascii="Arial" w:eastAsia="Times New Roman" w:hAnsi="Arial" w:cs="Arial"/>
          <w:color w:val="111111"/>
          <w:lang w:eastAsia="en-GB"/>
        </w:rPr>
        <w:t xml:space="preserve">requirement </w:t>
      </w:r>
      <w:r w:rsidR="0022543F">
        <w:rPr>
          <w:rFonts w:ascii="Arial" w:eastAsia="Times New Roman" w:hAnsi="Arial" w:cs="Arial"/>
          <w:color w:val="111111"/>
          <w:lang w:eastAsia="en-GB"/>
        </w:rPr>
        <w:t xml:space="preserve">and </w:t>
      </w:r>
      <w:r w:rsidR="0022543F" w:rsidRPr="001C505D">
        <w:rPr>
          <w:rFonts w:ascii="Arial" w:eastAsia="Times New Roman" w:hAnsi="Arial" w:cs="Arial"/>
          <w:lang w:eastAsia="en-GB"/>
        </w:rPr>
        <w:t>6 hectares of employment.</w:t>
      </w:r>
      <w:r w:rsidR="00031EF3">
        <w:rPr>
          <w:rFonts w:ascii="Arial" w:eastAsia="Times New Roman" w:hAnsi="Arial" w:cs="Arial"/>
          <w:color w:val="111111"/>
          <w:lang w:eastAsia="en-GB"/>
        </w:rPr>
        <w:t xml:space="preserve"> But, as directed by Spatial Planning Officers, residual dwelling requirement figures will change based on permission</w:t>
      </w:r>
      <w:r w:rsidR="007B093A">
        <w:rPr>
          <w:rFonts w:ascii="Arial" w:eastAsia="Times New Roman" w:hAnsi="Arial" w:cs="Arial"/>
          <w:color w:val="111111"/>
          <w:lang w:eastAsia="en-GB"/>
        </w:rPr>
        <w:t>s approved</w:t>
      </w:r>
      <w:r w:rsidR="00031EF3">
        <w:rPr>
          <w:rFonts w:ascii="Arial" w:eastAsia="Times New Roman" w:hAnsi="Arial" w:cs="Arial"/>
          <w:color w:val="111111"/>
          <w:lang w:eastAsia="en-GB"/>
        </w:rPr>
        <w:t xml:space="preserve"> and completions.</w:t>
      </w:r>
    </w:p>
    <w:p w14:paraId="7D309420" w14:textId="4BAF83EA" w:rsidR="00031EF3" w:rsidRDefault="00031EF3" w:rsidP="004B0DDE">
      <w:pPr>
        <w:spacing w:line="384" w:lineRule="atLeast"/>
        <w:textAlignment w:val="baseline"/>
        <w:rPr>
          <w:rFonts w:ascii="Arial" w:eastAsia="Times New Roman" w:hAnsi="Arial" w:cs="Arial"/>
          <w:color w:val="111111"/>
          <w:lang w:eastAsia="en-GB"/>
        </w:rPr>
      </w:pPr>
    </w:p>
    <w:p w14:paraId="27647E41" w14:textId="77777777" w:rsidR="00031EF3" w:rsidRPr="004B0DDE" w:rsidRDefault="00031EF3" w:rsidP="004B0DDE">
      <w:pPr>
        <w:spacing w:line="384" w:lineRule="atLeast"/>
        <w:textAlignment w:val="baseline"/>
        <w:rPr>
          <w:rFonts w:ascii="Arial" w:eastAsia="Times New Roman" w:hAnsi="Arial" w:cs="Arial"/>
          <w:color w:val="111111"/>
          <w:lang w:eastAsia="en-GB"/>
        </w:rPr>
      </w:pPr>
    </w:p>
    <w:p w14:paraId="3094B01B" w14:textId="77777777" w:rsidR="00EF1CD5" w:rsidRDefault="00EF1CD5" w:rsidP="004B0DDE"/>
    <w:p w14:paraId="5334BAD3" w14:textId="77777777" w:rsidR="001B5CAF" w:rsidRPr="004B0DDE" w:rsidRDefault="001B5CAF" w:rsidP="004B0DDE"/>
    <w:sectPr w:rsidR="001B5CAF" w:rsidRPr="004B0DDE" w:rsidSect="006E13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0066"/>
    <w:multiLevelType w:val="hybridMultilevel"/>
    <w:tmpl w:val="F9E0A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DE"/>
    <w:rsid w:val="00031EF3"/>
    <w:rsid w:val="00062133"/>
    <w:rsid w:val="000A28BF"/>
    <w:rsid w:val="000B1794"/>
    <w:rsid w:val="001168B5"/>
    <w:rsid w:val="001B5CAF"/>
    <w:rsid w:val="001C505D"/>
    <w:rsid w:val="001D4A82"/>
    <w:rsid w:val="0022543F"/>
    <w:rsid w:val="00321E40"/>
    <w:rsid w:val="00393FE7"/>
    <w:rsid w:val="004B0DDE"/>
    <w:rsid w:val="00527260"/>
    <w:rsid w:val="00565D88"/>
    <w:rsid w:val="005D6935"/>
    <w:rsid w:val="005F38F7"/>
    <w:rsid w:val="00654057"/>
    <w:rsid w:val="00676F05"/>
    <w:rsid w:val="006E137A"/>
    <w:rsid w:val="007573A4"/>
    <w:rsid w:val="007B093A"/>
    <w:rsid w:val="007B3B4D"/>
    <w:rsid w:val="00845400"/>
    <w:rsid w:val="00855CF4"/>
    <w:rsid w:val="00891979"/>
    <w:rsid w:val="00894E96"/>
    <w:rsid w:val="008B41FA"/>
    <w:rsid w:val="009E28EF"/>
    <w:rsid w:val="009F46AC"/>
    <w:rsid w:val="00A92AE6"/>
    <w:rsid w:val="00AF5866"/>
    <w:rsid w:val="00BC5FDE"/>
    <w:rsid w:val="00C07B35"/>
    <w:rsid w:val="00CA4F56"/>
    <w:rsid w:val="00D9300E"/>
    <w:rsid w:val="00EC2F5F"/>
    <w:rsid w:val="00EF1CD5"/>
    <w:rsid w:val="00FF7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9CB935"/>
  <w15:chartTrackingRefBased/>
  <w15:docId w15:val="{A98D99B8-7377-FF41-BD0D-19B8CDD0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0DD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4B0DD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DD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B0DD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B0DD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B0DDE"/>
    <w:rPr>
      <w:color w:val="0000FF"/>
      <w:u w:val="single"/>
    </w:rPr>
  </w:style>
  <w:style w:type="character" w:styleId="Emphasis">
    <w:name w:val="Emphasis"/>
    <w:basedOn w:val="DefaultParagraphFont"/>
    <w:uiPriority w:val="20"/>
    <w:qFormat/>
    <w:rsid w:val="004B0DDE"/>
    <w:rPr>
      <w:i/>
      <w:iCs/>
    </w:rPr>
  </w:style>
  <w:style w:type="paragraph" w:styleId="ListParagraph">
    <w:name w:val="List Paragraph"/>
    <w:basedOn w:val="Normal"/>
    <w:uiPriority w:val="34"/>
    <w:qFormat/>
    <w:rsid w:val="00A92AE6"/>
    <w:pPr>
      <w:ind w:left="720"/>
      <w:contextualSpacing/>
    </w:pPr>
  </w:style>
  <w:style w:type="character" w:styleId="UnresolvedMention">
    <w:name w:val="Unresolved Mention"/>
    <w:basedOn w:val="DefaultParagraphFont"/>
    <w:uiPriority w:val="99"/>
    <w:rsid w:val="009E28EF"/>
    <w:rPr>
      <w:color w:val="605E5C"/>
      <w:shd w:val="clear" w:color="auto" w:fill="E1DFDD"/>
    </w:rPr>
  </w:style>
  <w:style w:type="character" w:styleId="FollowedHyperlink">
    <w:name w:val="FollowedHyperlink"/>
    <w:basedOn w:val="DefaultParagraphFont"/>
    <w:uiPriority w:val="99"/>
    <w:semiHidden/>
    <w:unhideWhenUsed/>
    <w:rsid w:val="009E28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25943">
      <w:bodyDiv w:val="1"/>
      <w:marLeft w:val="0"/>
      <w:marRight w:val="0"/>
      <w:marTop w:val="0"/>
      <w:marBottom w:val="0"/>
      <w:divBdr>
        <w:top w:val="none" w:sz="0" w:space="0" w:color="auto"/>
        <w:left w:val="none" w:sz="0" w:space="0" w:color="auto"/>
        <w:bottom w:val="none" w:sz="0" w:space="0" w:color="auto"/>
        <w:right w:val="none" w:sz="0" w:space="0" w:color="auto"/>
      </w:divBdr>
      <w:divsChild>
        <w:div w:id="1166438068">
          <w:marLeft w:val="0"/>
          <w:marRight w:val="0"/>
          <w:marTop w:val="120"/>
          <w:marBottom w:val="120"/>
          <w:divBdr>
            <w:top w:val="none" w:sz="0" w:space="0" w:color="auto"/>
            <w:left w:val="none" w:sz="0" w:space="0" w:color="auto"/>
            <w:bottom w:val="none" w:sz="0" w:space="0" w:color="auto"/>
            <w:right w:val="none" w:sz="0" w:space="0" w:color="auto"/>
          </w:divBdr>
        </w:div>
      </w:divsChild>
    </w:div>
    <w:div w:id="874543896">
      <w:bodyDiv w:val="1"/>
      <w:marLeft w:val="0"/>
      <w:marRight w:val="0"/>
      <w:marTop w:val="0"/>
      <w:marBottom w:val="0"/>
      <w:divBdr>
        <w:top w:val="none" w:sz="0" w:space="0" w:color="auto"/>
        <w:left w:val="none" w:sz="0" w:space="0" w:color="auto"/>
        <w:bottom w:val="none" w:sz="0" w:space="0" w:color="auto"/>
        <w:right w:val="none" w:sz="0" w:space="0" w:color="auto"/>
      </w:divBdr>
    </w:div>
    <w:div w:id="177192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estry.cloudapp.net/planning-neighbourhood" TargetMode="External"/><Relationship Id="rId13" Type="http://schemas.openxmlformats.org/officeDocument/2006/relationships/hyperlink" Target="https://cms.wiltshire.gov.uk/documents/s160877/Appendix%206%20Swindon%20HMA.pdf" TargetMode="External"/><Relationship Id="rId3" Type="http://schemas.openxmlformats.org/officeDocument/2006/relationships/settings" Target="settings.xml"/><Relationship Id="rId7" Type="http://schemas.openxmlformats.org/officeDocument/2006/relationships/hyperlink" Target="https://www.gov.uk/guidance/neighbourhood-planning--2" TargetMode="External"/><Relationship Id="rId12" Type="http://schemas.openxmlformats.org/officeDocument/2006/relationships/hyperlink" Target="https://www.wiltshire.gov.uk/planning-policy-local-plan-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yalwoottonbassett.gov.uk/mdocs-posts/full-council-minutes-05-10-19/" TargetMode="External"/><Relationship Id="rId11" Type="http://schemas.openxmlformats.org/officeDocument/2006/relationships/hyperlink" Target="https://www.wiltshire.gov.uk/planning-policy-lds" TargetMode="External"/><Relationship Id="rId5" Type="http://schemas.openxmlformats.org/officeDocument/2006/relationships/hyperlink" Target="http://www.legislation.gov.uk/ukpga/2011/20/contents/enacted" TargetMode="External"/><Relationship Id="rId15" Type="http://schemas.openxmlformats.org/officeDocument/2006/relationships/theme" Target="theme/theme1.xml"/><Relationship Id="rId10" Type="http://schemas.openxmlformats.org/officeDocument/2006/relationships/hyperlink" Target="https://www.gov.uk/government/uploads/system/uploads/attachment_data/file/6077/2116950.pdf" TargetMode="External"/><Relationship Id="rId4" Type="http://schemas.openxmlformats.org/officeDocument/2006/relationships/webSettings" Target="webSettings.xml"/><Relationship Id="rId9" Type="http://schemas.openxmlformats.org/officeDocument/2006/relationships/hyperlink" Target="http://planningguidance.planningportal.gov.uk/blog/policy/achieving-sustainable-development/plan-mak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dc:creator>
  <cp:keywords/>
  <dc:description/>
  <cp:lastModifiedBy>Gillian</cp:lastModifiedBy>
  <cp:revision>21</cp:revision>
  <dcterms:created xsi:type="dcterms:W3CDTF">2020-10-10T18:28:00Z</dcterms:created>
  <dcterms:modified xsi:type="dcterms:W3CDTF">2020-10-11T09:52:00Z</dcterms:modified>
</cp:coreProperties>
</file>